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hAnsi="华文新魏" w:eastAsia="华文新魏" w:cs="华文新魏"/>
          <w:color w:val="000000"/>
          <w:sz w:val="32"/>
          <w:szCs w:val="28"/>
          <w:lang w:eastAsia="zh-CN"/>
        </w:rPr>
      </w:pPr>
      <w:r>
        <w:rPr>
          <w:rFonts w:hint="eastAsia" w:ascii="华文新魏" w:hAnsi="华文新魏" w:eastAsia="华文新魏" w:cs="华文新魏"/>
          <w:color w:val="000000"/>
          <w:sz w:val="32"/>
          <w:szCs w:val="28"/>
        </w:rPr>
        <w:t>西安开放大学</w:t>
      </w:r>
      <w:r>
        <w:rPr>
          <w:rFonts w:hint="eastAsia" w:ascii="华文新魏" w:hAnsi="华文新魏" w:eastAsia="华文新魏" w:cs="华文新魏"/>
          <w:color w:val="000000"/>
          <w:sz w:val="32"/>
          <w:szCs w:val="28"/>
          <w:lang w:val="en-US" w:eastAsia="zh-CN"/>
        </w:rPr>
        <w:t>第三届</w:t>
      </w:r>
      <w:r>
        <w:rPr>
          <w:rFonts w:hint="eastAsia" w:ascii="华文新魏" w:hAnsi="华文新魏" w:eastAsia="华文新魏" w:cs="华文新魏"/>
          <w:color w:val="000000"/>
          <w:sz w:val="32"/>
          <w:szCs w:val="28"/>
        </w:rPr>
        <w:t>课程思政教学设计评</w:t>
      </w:r>
      <w:r>
        <w:rPr>
          <w:rFonts w:hint="eastAsia" w:ascii="华文新魏" w:hAnsi="华文新魏" w:eastAsia="华文新魏" w:cs="华文新魏"/>
          <w:color w:val="000000"/>
          <w:sz w:val="32"/>
          <w:szCs w:val="28"/>
          <w:lang w:val="en-US" w:eastAsia="zh-CN"/>
        </w:rPr>
        <w:t>比</w:t>
      </w:r>
    </w:p>
    <w:p>
      <w:pPr>
        <w:spacing w:line="360" w:lineRule="auto"/>
        <w:jc w:val="center"/>
        <w:rPr>
          <w:rFonts w:hint="eastAsia" w:ascii="华文新魏" w:hAnsi="华文新魏" w:eastAsia="华文新魏" w:cs="华文新魏"/>
          <w:color w:val="000000"/>
          <w:sz w:val="32"/>
          <w:szCs w:val="28"/>
          <w:lang w:eastAsia="zh-CN"/>
        </w:rPr>
      </w:pPr>
      <w:r>
        <w:rPr>
          <w:rFonts w:hint="eastAsia" w:ascii="华文新魏" w:hAnsi="华文新魏" w:eastAsia="华文新魏" w:cs="华文新魏"/>
          <w:color w:val="000000"/>
          <w:sz w:val="32"/>
          <w:szCs w:val="28"/>
          <w:lang w:val="en-US" w:eastAsia="zh-CN"/>
        </w:rPr>
        <w:t>暨教学技能大赛</w:t>
      </w:r>
      <w:r>
        <w:rPr>
          <w:rFonts w:hint="eastAsia" w:ascii="华文新魏" w:hAnsi="华文新魏" w:eastAsia="华文新魏" w:cs="华文新魏"/>
          <w:color w:val="000000"/>
          <w:sz w:val="32"/>
          <w:szCs w:val="28"/>
        </w:rPr>
        <w:t>评分</w:t>
      </w:r>
      <w:r>
        <w:rPr>
          <w:rFonts w:hint="eastAsia" w:ascii="华文新魏" w:hAnsi="华文新魏" w:eastAsia="华文新魏" w:cs="华文新魏"/>
          <w:color w:val="000000"/>
          <w:sz w:val="32"/>
          <w:szCs w:val="28"/>
          <w:lang w:val="en-US" w:eastAsia="zh-CN"/>
        </w:rPr>
        <w:t>规则</w:t>
      </w:r>
    </w:p>
    <w:tbl>
      <w:tblPr>
        <w:tblStyle w:val="2"/>
        <w:tblW w:w="7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439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413" w:type="dxa"/>
            <w:vAlign w:val="center"/>
          </w:tcPr>
          <w:p>
            <w:pPr>
              <w:spacing w:line="360" w:lineRule="auto"/>
              <w:jc w:val="center"/>
              <w:rPr>
                <w:rFonts w:hint="eastAsia" w:ascii="Times New Roman" w:hAnsi="Times New Roman" w:eastAsia="仿宋_GB2312"/>
                <w:b/>
                <w:color w:val="000000"/>
                <w:sz w:val="28"/>
                <w:szCs w:val="28"/>
                <w:lang w:val="en-US" w:eastAsia="zh-CN"/>
              </w:rPr>
            </w:pPr>
            <w:r>
              <w:rPr>
                <w:rFonts w:hint="eastAsia" w:ascii="Times New Roman" w:hAnsi="Times New Roman" w:eastAsia="仿宋_GB2312"/>
                <w:b/>
                <w:color w:val="000000"/>
                <w:sz w:val="28"/>
                <w:szCs w:val="28"/>
                <w:lang w:val="en-US" w:eastAsia="zh-CN"/>
              </w:rPr>
              <w:t>评价指标</w:t>
            </w:r>
          </w:p>
        </w:tc>
        <w:tc>
          <w:tcPr>
            <w:tcW w:w="4394" w:type="dxa"/>
            <w:vAlign w:val="center"/>
          </w:tcPr>
          <w:p>
            <w:pPr>
              <w:spacing w:line="360" w:lineRule="auto"/>
              <w:jc w:val="center"/>
              <w:rPr>
                <w:rFonts w:hint="eastAsia" w:ascii="Times New Roman" w:hAnsi="Times New Roman" w:eastAsia="仿宋_GB2312"/>
                <w:b/>
                <w:color w:val="000000"/>
                <w:sz w:val="28"/>
                <w:szCs w:val="28"/>
                <w:lang w:val="en-US" w:eastAsia="zh-CN"/>
              </w:rPr>
            </w:pPr>
            <w:r>
              <w:rPr>
                <w:rFonts w:hint="eastAsia" w:ascii="Times New Roman" w:hAnsi="Times New Roman" w:eastAsia="仿宋_GB2312"/>
                <w:b/>
                <w:color w:val="000000"/>
                <w:sz w:val="28"/>
                <w:szCs w:val="28"/>
                <w:lang w:val="en-US" w:eastAsia="zh-CN"/>
              </w:rPr>
              <w:t>评分内容</w:t>
            </w:r>
          </w:p>
        </w:tc>
        <w:tc>
          <w:tcPr>
            <w:tcW w:w="1559" w:type="dxa"/>
            <w:vAlign w:val="center"/>
          </w:tcPr>
          <w:p>
            <w:pPr>
              <w:spacing w:line="360" w:lineRule="auto"/>
              <w:jc w:val="center"/>
              <w:rPr>
                <w:rFonts w:hint="default" w:ascii="Times New Roman" w:hAnsi="Times New Roman" w:eastAsia="仿宋_GB2312"/>
                <w:b/>
                <w:color w:val="000000"/>
                <w:sz w:val="28"/>
                <w:szCs w:val="28"/>
                <w:lang w:val="en-US" w:eastAsia="zh-CN"/>
              </w:rPr>
            </w:pPr>
            <w:r>
              <w:rPr>
                <w:rFonts w:hint="eastAsia" w:ascii="Times New Roman" w:hAnsi="Times New Roman" w:eastAsia="仿宋_GB2312"/>
                <w:b/>
                <w:color w:val="000000"/>
                <w:sz w:val="28"/>
                <w:szCs w:val="28"/>
                <w:lang w:val="en-US" w:eastAsia="zh-CN"/>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1413" w:type="dxa"/>
            <w:vMerge w:val="restart"/>
            <w:vAlign w:val="center"/>
          </w:tcPr>
          <w:p>
            <w:pPr>
              <w:spacing w:line="480" w:lineRule="exact"/>
              <w:jc w:val="center"/>
              <w:rPr>
                <w:rFonts w:ascii="Times New Roman" w:hAnsi="Times New Roman" w:eastAsia="仿宋_GB2312"/>
                <w:b/>
                <w:color w:val="000000"/>
                <w:sz w:val="24"/>
              </w:rPr>
            </w:pPr>
            <w:r>
              <w:rPr>
                <w:rFonts w:ascii="Times New Roman" w:hAnsi="Times New Roman" w:eastAsia="仿宋_GB2312"/>
                <w:b/>
                <w:color w:val="000000"/>
                <w:sz w:val="24"/>
              </w:rPr>
              <w:t>教学目标</w:t>
            </w:r>
          </w:p>
        </w:tc>
        <w:tc>
          <w:tcPr>
            <w:tcW w:w="4394" w:type="dxa"/>
            <w:vAlign w:val="center"/>
          </w:tcPr>
          <w:p>
            <w:pPr>
              <w:pStyle w:val="12"/>
              <w:spacing w:before="0" w:beforeAutospacing="0" w:after="0" w:afterAutospacing="0" w:line="480" w:lineRule="exact"/>
              <w:rPr>
                <w:rFonts w:hint="eastAsia" w:ascii="仿宋" w:hAnsi="仿宋" w:eastAsia="仿宋"/>
                <w:color w:val="000000"/>
                <w:kern w:val="0"/>
                <w:szCs w:val="21"/>
                <w:lang w:val="en-US" w:eastAsia="zh-CN"/>
              </w:rPr>
            </w:pPr>
            <w:r>
              <w:rPr>
                <w:rFonts w:hint="eastAsia" w:ascii="仿宋" w:hAnsi="仿宋" w:eastAsia="仿宋"/>
                <w:color w:val="000000"/>
                <w:kern w:val="0"/>
                <w:szCs w:val="21"/>
                <w:lang w:val="en-US" w:eastAsia="zh-CN"/>
              </w:rPr>
              <w:t>根据教学大纲，从知识、技能、思政任务三个方面设定教学目标。</w:t>
            </w:r>
            <w:bookmarkStart w:id="0" w:name="_GoBack"/>
            <w:bookmarkEnd w:id="0"/>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10</w:t>
            </w:r>
            <w:r>
              <w:rPr>
                <w:rFonts w:ascii="Times New Roman" w:hAnsi="Times New Roman" w:eastAsia="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413" w:type="dxa"/>
            <w:vMerge w:val="continue"/>
            <w:vAlign w:val="center"/>
          </w:tcPr>
          <w:p>
            <w:pPr>
              <w:spacing w:line="480" w:lineRule="exact"/>
              <w:jc w:val="center"/>
              <w:rPr>
                <w:rFonts w:ascii="Times New Roman" w:hAnsi="Times New Roman" w:eastAsia="仿宋_GB2312"/>
                <w:color w:val="000000"/>
                <w:sz w:val="24"/>
              </w:rPr>
            </w:pPr>
          </w:p>
        </w:tc>
        <w:tc>
          <w:tcPr>
            <w:tcW w:w="4394" w:type="dxa"/>
            <w:vAlign w:val="center"/>
          </w:tcPr>
          <w:p>
            <w:pPr>
              <w:pStyle w:val="12"/>
              <w:spacing w:before="0" w:beforeAutospacing="0" w:after="0" w:afterAutospacing="0" w:line="480" w:lineRule="exact"/>
              <w:rPr>
                <w:rFonts w:hint="eastAsia" w:ascii="仿宋" w:hAnsi="仿宋" w:eastAsia="仿宋"/>
                <w:color w:val="000000"/>
                <w:kern w:val="0"/>
                <w:szCs w:val="21"/>
                <w:lang w:val="en-US" w:eastAsia="zh-CN"/>
              </w:rPr>
            </w:pPr>
            <w:r>
              <w:rPr>
                <w:rFonts w:hint="eastAsia" w:ascii="仿宋" w:hAnsi="仿宋" w:eastAsia="仿宋"/>
                <w:color w:val="000000"/>
                <w:kern w:val="0"/>
                <w:szCs w:val="21"/>
                <w:lang w:val="en-US" w:eastAsia="zh-CN"/>
              </w:rPr>
              <w:t>以立德树人为本，体现教学的教育性。</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5</w:t>
            </w:r>
            <w:r>
              <w:rPr>
                <w:rFonts w:ascii="Times New Roman" w:hAnsi="Times New Roman" w:eastAsia="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1413" w:type="dxa"/>
            <w:vMerge w:val="continue"/>
            <w:vAlign w:val="center"/>
          </w:tcPr>
          <w:p>
            <w:pPr>
              <w:spacing w:line="480" w:lineRule="exact"/>
              <w:jc w:val="center"/>
              <w:rPr>
                <w:rFonts w:ascii="Times New Roman" w:hAnsi="Times New Roman" w:eastAsia="仿宋_GB2312"/>
                <w:color w:val="000000"/>
                <w:kern w:val="2"/>
                <w:sz w:val="24"/>
                <w:szCs w:val="22"/>
                <w:lang w:val="en-US" w:eastAsia="zh-CN" w:bidi="ar-SA"/>
              </w:rPr>
            </w:pPr>
          </w:p>
        </w:tc>
        <w:tc>
          <w:tcPr>
            <w:tcW w:w="4394" w:type="dxa"/>
            <w:vAlign w:val="center"/>
          </w:tcPr>
          <w:p>
            <w:pPr>
              <w:pStyle w:val="12"/>
              <w:spacing w:before="0" w:beforeAutospacing="0" w:after="0" w:afterAutospacing="0" w:line="480" w:lineRule="exact"/>
              <w:rPr>
                <w:rFonts w:hint="eastAsia" w:ascii="仿宋" w:hAnsi="仿宋" w:eastAsia="仿宋"/>
                <w:color w:val="000000"/>
              </w:rPr>
            </w:pPr>
            <w:r>
              <w:rPr>
                <w:rFonts w:hint="eastAsia" w:ascii="仿宋" w:hAnsi="仿宋" w:eastAsia="仿宋"/>
                <w:color w:val="000000"/>
              </w:rPr>
              <w:t>教学目标明确，与“课程思政”的育人目标一致。教学目标设计科学合理，符合开放大学学习者认知规律和教学实际。</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w:t>
            </w:r>
            <w:r>
              <w:rPr>
                <w:rFonts w:ascii="Times New Roman" w:hAnsi="Times New Roman" w:eastAsia="仿宋_GB2312"/>
                <w:color w:val="000000"/>
                <w:sz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3" w:hRule="atLeast"/>
          <w:jc w:val="center"/>
        </w:trPr>
        <w:tc>
          <w:tcPr>
            <w:tcW w:w="1413" w:type="dxa"/>
            <w:vMerge w:val="restart"/>
            <w:vAlign w:val="center"/>
          </w:tcPr>
          <w:p>
            <w:pPr>
              <w:spacing w:line="480" w:lineRule="exact"/>
              <w:jc w:val="center"/>
              <w:rPr>
                <w:rFonts w:hint="eastAsia" w:ascii="Times New Roman" w:hAnsi="Times New Roman" w:eastAsia="仿宋_GB2312"/>
                <w:b/>
                <w:color w:val="000000"/>
                <w:sz w:val="24"/>
                <w:lang w:val="en-US" w:eastAsia="zh-CN"/>
              </w:rPr>
            </w:pPr>
            <w:r>
              <w:rPr>
                <w:rFonts w:hint="eastAsia" w:ascii="Times New Roman" w:hAnsi="Times New Roman" w:eastAsia="仿宋_GB2312"/>
                <w:b/>
                <w:color w:val="000000"/>
                <w:sz w:val="24"/>
                <w:lang w:val="en-US" w:eastAsia="zh-CN"/>
              </w:rPr>
              <w:t>教学设计</w:t>
            </w:r>
          </w:p>
        </w:tc>
        <w:tc>
          <w:tcPr>
            <w:tcW w:w="4394" w:type="dxa"/>
            <w:vAlign w:val="center"/>
          </w:tcPr>
          <w:p>
            <w:pPr>
              <w:pStyle w:val="12"/>
              <w:spacing w:before="0" w:beforeAutospacing="0" w:after="0" w:afterAutospacing="0" w:line="480" w:lineRule="exact"/>
              <w:rPr>
                <w:rFonts w:hint="eastAsia" w:ascii="仿宋" w:hAnsi="仿宋" w:eastAsia="仿宋"/>
                <w:color w:val="000000"/>
                <w:kern w:val="0"/>
                <w:szCs w:val="21"/>
              </w:rPr>
            </w:pPr>
            <w:r>
              <w:rPr>
                <w:rFonts w:hint="eastAsia" w:ascii="仿宋" w:hAnsi="仿宋" w:eastAsia="仿宋"/>
                <w:color w:val="000000"/>
                <w:kern w:val="0"/>
                <w:szCs w:val="21"/>
              </w:rPr>
              <w:t>教学设计符合教学目标，教学内容具有逻辑性科学性，符合</w:t>
            </w:r>
            <w:r>
              <w:rPr>
                <w:rFonts w:hint="eastAsia" w:ascii="仿宋" w:hAnsi="仿宋" w:eastAsia="仿宋"/>
                <w:color w:val="000000"/>
                <w:kern w:val="0"/>
                <w:szCs w:val="21"/>
                <w:lang w:val="en-US" w:eastAsia="zh-CN"/>
              </w:rPr>
              <w:t>开放教育学习者</w:t>
            </w:r>
            <w:r>
              <w:rPr>
                <w:rFonts w:hint="eastAsia" w:ascii="仿宋" w:hAnsi="仿宋" w:eastAsia="仿宋"/>
                <w:color w:val="000000"/>
                <w:kern w:val="0"/>
                <w:szCs w:val="21"/>
              </w:rPr>
              <w:t>学习特点；能</w:t>
            </w:r>
            <w:r>
              <w:rPr>
                <w:rFonts w:hint="eastAsia" w:ascii="仿宋" w:hAnsi="仿宋" w:eastAsia="仿宋"/>
                <w:color w:val="000000"/>
                <w:kern w:val="0"/>
                <w:szCs w:val="21"/>
                <w:lang w:val="en-US" w:eastAsia="zh-CN"/>
              </w:rPr>
              <w:t>充分反映参赛教师教学理念、设计思路及教学特色。</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7" w:hRule="atLeast"/>
          <w:jc w:val="center"/>
        </w:trPr>
        <w:tc>
          <w:tcPr>
            <w:tcW w:w="1413" w:type="dxa"/>
            <w:vMerge w:val="continue"/>
            <w:vAlign w:val="center"/>
          </w:tcPr>
          <w:p>
            <w:pPr>
              <w:spacing w:line="480" w:lineRule="exact"/>
              <w:jc w:val="center"/>
              <w:rPr>
                <w:rFonts w:hint="eastAsia" w:ascii="Times New Roman" w:hAnsi="Times New Roman" w:eastAsia="仿宋_GB2312"/>
                <w:b/>
                <w:color w:val="000000"/>
                <w:sz w:val="24"/>
                <w:lang w:val="en-US" w:eastAsia="zh-CN"/>
              </w:rPr>
            </w:pPr>
          </w:p>
        </w:tc>
        <w:tc>
          <w:tcPr>
            <w:tcW w:w="4394" w:type="dxa"/>
            <w:vAlign w:val="center"/>
          </w:tcPr>
          <w:p>
            <w:pPr>
              <w:pStyle w:val="12"/>
              <w:spacing w:before="0" w:beforeAutospacing="0" w:after="0" w:afterAutospacing="0" w:line="480" w:lineRule="exact"/>
              <w:rPr>
                <w:rFonts w:hint="eastAsia" w:ascii="仿宋" w:hAnsi="仿宋" w:eastAsia="仿宋"/>
                <w:color w:val="000000"/>
                <w:kern w:val="0"/>
                <w:szCs w:val="21"/>
                <w:lang w:val="en-US" w:eastAsia="zh-CN"/>
              </w:rPr>
            </w:pPr>
            <w:r>
              <w:rPr>
                <w:rFonts w:hint="eastAsia" w:ascii="仿宋" w:hAnsi="仿宋" w:eastAsia="仿宋"/>
                <w:color w:val="000000"/>
                <w:kern w:val="0"/>
                <w:szCs w:val="21"/>
                <w:lang w:val="en-US" w:eastAsia="zh-CN"/>
              </w:rPr>
              <w:t>精心设计思政教学元素，</w:t>
            </w:r>
            <w:r>
              <w:rPr>
                <w:rFonts w:hint="eastAsia" w:ascii="仿宋" w:hAnsi="仿宋" w:eastAsia="仿宋"/>
                <w:color w:val="000000"/>
                <w:sz w:val="24"/>
              </w:rPr>
              <w:t>能够整合运用现代信息技术手段和各种媒体资源把思政教育元素有机融入到课程教学全过程</w:t>
            </w:r>
            <w:r>
              <w:rPr>
                <w:rFonts w:hint="eastAsia" w:ascii="仿宋" w:hAnsi="仿宋" w:eastAsia="仿宋"/>
                <w:color w:val="000000"/>
                <w:sz w:val="24"/>
                <w:lang w:eastAsia="zh-CN"/>
              </w:rPr>
              <w:t>。</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8" w:hRule="atLeast"/>
          <w:jc w:val="center"/>
        </w:trPr>
        <w:tc>
          <w:tcPr>
            <w:tcW w:w="1413" w:type="dxa"/>
            <w:vAlign w:val="center"/>
          </w:tcPr>
          <w:p>
            <w:pPr>
              <w:spacing w:line="480" w:lineRule="exact"/>
              <w:jc w:val="center"/>
              <w:rPr>
                <w:rFonts w:ascii="Times New Roman" w:hAnsi="Times New Roman" w:eastAsia="仿宋_GB2312"/>
                <w:b/>
                <w:color w:val="000000"/>
                <w:sz w:val="24"/>
              </w:rPr>
            </w:pPr>
            <w:r>
              <w:rPr>
                <w:rFonts w:ascii="Times New Roman" w:hAnsi="Times New Roman" w:eastAsia="仿宋_GB2312"/>
                <w:b/>
                <w:color w:val="000000"/>
                <w:sz w:val="24"/>
              </w:rPr>
              <w:t>教学</w:t>
            </w:r>
            <w:r>
              <w:rPr>
                <w:rFonts w:hint="eastAsia" w:ascii="Times New Roman" w:hAnsi="Times New Roman" w:eastAsia="仿宋_GB2312"/>
                <w:b/>
                <w:color w:val="000000"/>
                <w:sz w:val="24"/>
                <w:lang w:val="en-US" w:eastAsia="zh-CN"/>
              </w:rPr>
              <w:t>方法</w:t>
            </w:r>
          </w:p>
        </w:tc>
        <w:tc>
          <w:tcPr>
            <w:tcW w:w="4394" w:type="dxa"/>
            <w:vAlign w:val="center"/>
          </w:tcPr>
          <w:p>
            <w:pPr>
              <w:spacing w:line="480" w:lineRule="exact"/>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注重调动开放教育学习者的学习积极性和主动性，根据开放教育学习者的特性及教学规律选用适当的教学方法，教学内容呈现恰当，教学辅助效果良好。</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10</w:t>
            </w:r>
            <w:r>
              <w:rPr>
                <w:rFonts w:ascii="Times New Roman" w:hAnsi="Times New Roman" w:eastAsia="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1413" w:type="dxa"/>
            <w:vAlign w:val="center"/>
          </w:tcPr>
          <w:p>
            <w:pPr>
              <w:spacing w:line="480" w:lineRule="exact"/>
              <w:jc w:val="center"/>
              <w:rPr>
                <w:rFonts w:ascii="Times New Roman" w:hAnsi="Times New Roman" w:eastAsia="仿宋_GB2312"/>
                <w:b/>
                <w:color w:val="000000"/>
                <w:sz w:val="24"/>
              </w:rPr>
            </w:pPr>
            <w:r>
              <w:rPr>
                <w:rFonts w:ascii="Times New Roman" w:hAnsi="Times New Roman" w:eastAsia="仿宋_GB2312"/>
                <w:b/>
                <w:color w:val="000000"/>
                <w:sz w:val="24"/>
              </w:rPr>
              <w:t>教学组织</w:t>
            </w:r>
            <w:r>
              <w:rPr>
                <w:rFonts w:hint="eastAsia" w:ascii="Times New Roman" w:hAnsi="Times New Roman" w:eastAsia="仿宋_GB2312"/>
                <w:b/>
                <w:color w:val="000000"/>
                <w:sz w:val="24"/>
                <w:lang w:val="en-US" w:eastAsia="zh-CN"/>
              </w:rPr>
              <w:t>与实施</w:t>
            </w:r>
          </w:p>
        </w:tc>
        <w:tc>
          <w:tcPr>
            <w:tcW w:w="4394" w:type="dxa"/>
            <w:vAlign w:val="center"/>
          </w:tcPr>
          <w:p>
            <w:pPr>
              <w:spacing w:line="480" w:lineRule="exact"/>
              <w:jc w:val="left"/>
              <w:rPr>
                <w:rFonts w:hint="eastAsia" w:ascii="仿宋" w:hAnsi="仿宋" w:eastAsia="仿宋"/>
                <w:color w:val="000000"/>
                <w:sz w:val="24"/>
              </w:rPr>
            </w:pPr>
            <w:r>
              <w:rPr>
                <w:rFonts w:hint="eastAsia" w:ascii="仿宋" w:hAnsi="仿宋" w:eastAsia="仿宋"/>
                <w:color w:val="000000"/>
                <w:sz w:val="24"/>
              </w:rPr>
              <w:t>教学</w:t>
            </w:r>
            <w:r>
              <w:rPr>
                <w:rFonts w:hint="eastAsia" w:ascii="仿宋" w:hAnsi="仿宋" w:eastAsia="仿宋"/>
                <w:color w:val="000000"/>
                <w:sz w:val="24"/>
                <w:lang w:val="en-US" w:eastAsia="zh-CN"/>
              </w:rPr>
              <w:t>过程</w:t>
            </w:r>
            <w:r>
              <w:rPr>
                <w:rFonts w:hint="eastAsia" w:ascii="仿宋" w:hAnsi="仿宋" w:eastAsia="仿宋"/>
                <w:color w:val="000000"/>
                <w:sz w:val="24"/>
              </w:rPr>
              <w:t>设计合理，教学策略选择正确，</w:t>
            </w:r>
            <w:r>
              <w:rPr>
                <w:rFonts w:hint="eastAsia" w:ascii="仿宋" w:hAnsi="仿宋" w:eastAsia="仿宋"/>
                <w:color w:val="000000"/>
                <w:sz w:val="24"/>
                <w:lang w:val="en-US" w:eastAsia="zh-CN"/>
              </w:rPr>
              <w:t>注重教学互动，能突出开放教育学习者主体地位。</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10</w:t>
            </w:r>
            <w:r>
              <w:rPr>
                <w:rFonts w:ascii="Times New Roman" w:hAnsi="Times New Roman" w:eastAsia="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1" w:hRule="atLeast"/>
          <w:jc w:val="center"/>
        </w:trPr>
        <w:tc>
          <w:tcPr>
            <w:tcW w:w="1413" w:type="dxa"/>
            <w:vAlign w:val="center"/>
          </w:tcPr>
          <w:p>
            <w:pPr>
              <w:spacing w:line="480" w:lineRule="exact"/>
              <w:jc w:val="center"/>
              <w:rPr>
                <w:rFonts w:ascii="Times New Roman" w:hAnsi="Times New Roman" w:eastAsia="仿宋_GB2312"/>
                <w:b/>
                <w:color w:val="000000"/>
                <w:sz w:val="24"/>
              </w:rPr>
            </w:pPr>
            <w:r>
              <w:rPr>
                <w:rFonts w:ascii="Times New Roman" w:hAnsi="Times New Roman" w:eastAsia="仿宋_GB2312"/>
                <w:b/>
                <w:color w:val="000000"/>
                <w:sz w:val="24"/>
              </w:rPr>
              <w:t>教学创新</w:t>
            </w:r>
          </w:p>
        </w:tc>
        <w:tc>
          <w:tcPr>
            <w:tcW w:w="4394" w:type="dxa"/>
            <w:vAlign w:val="center"/>
          </w:tcPr>
          <w:p>
            <w:pPr>
              <w:spacing w:line="480" w:lineRule="exact"/>
              <w:jc w:val="left"/>
              <w:rPr>
                <w:rFonts w:hint="eastAsia" w:ascii="仿宋" w:hAnsi="仿宋" w:eastAsia="仿宋"/>
                <w:color w:val="000000"/>
                <w:sz w:val="24"/>
              </w:rPr>
            </w:pPr>
            <w:r>
              <w:rPr>
                <w:rFonts w:hint="eastAsia" w:ascii="仿宋" w:hAnsi="仿宋" w:eastAsia="仿宋"/>
                <w:color w:val="000000"/>
                <w:sz w:val="24"/>
              </w:rPr>
              <w:t>教学设计能结合课程特色挖掘育人因素，在某些环节有所创新，特色鲜明，具有较强的示范性和推广性。</w:t>
            </w:r>
          </w:p>
        </w:tc>
        <w:tc>
          <w:tcPr>
            <w:tcW w:w="1559" w:type="dxa"/>
            <w:vAlign w:val="center"/>
          </w:tcPr>
          <w:p>
            <w:pPr>
              <w:spacing w:line="480" w:lineRule="exact"/>
              <w:jc w:val="center"/>
              <w:rPr>
                <w:rFonts w:ascii="Times New Roman" w:hAnsi="Times New Roman" w:eastAsia="仿宋_GB2312"/>
                <w:color w:val="000000"/>
                <w:sz w:val="24"/>
              </w:rPr>
            </w:pPr>
            <w:r>
              <w:rPr>
                <w:rFonts w:ascii="Times New Roman" w:hAnsi="Times New Roman" w:eastAsia="仿宋_GB2312"/>
                <w:color w:val="000000"/>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413" w:type="dxa"/>
            <w:vMerge w:val="restart"/>
            <w:vAlign w:val="center"/>
          </w:tcPr>
          <w:p>
            <w:pPr>
              <w:spacing w:line="480" w:lineRule="exact"/>
              <w:jc w:val="center"/>
              <w:rPr>
                <w:rFonts w:hint="eastAsia" w:ascii="Times New Roman" w:hAnsi="Times New Roman" w:eastAsia="仿宋_GB2312"/>
                <w:b/>
                <w:color w:val="000000"/>
                <w:sz w:val="24"/>
              </w:rPr>
            </w:pPr>
            <w:r>
              <w:rPr>
                <w:rFonts w:hint="eastAsia" w:ascii="Times New Roman" w:hAnsi="Times New Roman" w:eastAsia="仿宋_GB2312"/>
                <w:b/>
                <w:color w:val="000000"/>
                <w:sz w:val="24"/>
              </w:rPr>
              <w:t>现场展示</w:t>
            </w:r>
          </w:p>
        </w:tc>
        <w:tc>
          <w:tcPr>
            <w:tcW w:w="4394" w:type="dxa"/>
            <w:vAlign w:val="center"/>
          </w:tcPr>
          <w:p>
            <w:pPr>
              <w:spacing w:line="480" w:lineRule="exact"/>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教态大方，精神饱满，</w:t>
            </w:r>
            <w:r>
              <w:rPr>
                <w:rFonts w:hint="eastAsia" w:ascii="仿宋" w:hAnsi="仿宋" w:eastAsia="仿宋"/>
                <w:color w:val="000000"/>
                <w:sz w:val="24"/>
              </w:rPr>
              <w:t>思路清晰</w:t>
            </w:r>
            <w:r>
              <w:rPr>
                <w:rFonts w:hint="eastAsia" w:ascii="仿宋" w:hAnsi="仿宋" w:eastAsia="仿宋"/>
                <w:color w:val="000000"/>
                <w:sz w:val="24"/>
                <w:lang w:eastAsia="zh-CN"/>
              </w:rPr>
              <w:t>；</w:t>
            </w:r>
          </w:p>
          <w:p>
            <w:pPr>
              <w:spacing w:line="480" w:lineRule="exact"/>
              <w:jc w:val="left"/>
              <w:rPr>
                <w:rFonts w:hint="eastAsia" w:ascii="仿宋" w:hAnsi="仿宋" w:eastAsia="仿宋"/>
                <w:color w:val="000000"/>
                <w:sz w:val="24"/>
                <w:lang w:val="en-US" w:eastAsia="zh-CN"/>
              </w:rPr>
            </w:pP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5</w:t>
            </w:r>
            <w:r>
              <w:rPr>
                <w:rFonts w:hint="eastAsia" w:ascii="Times New Roman" w:hAnsi="Times New Roman" w:eastAsia="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413" w:type="dxa"/>
            <w:vMerge w:val="continue"/>
            <w:vAlign w:val="center"/>
          </w:tcPr>
          <w:p>
            <w:pPr>
              <w:spacing w:line="480" w:lineRule="exact"/>
              <w:jc w:val="center"/>
              <w:rPr>
                <w:rFonts w:hint="eastAsia" w:ascii="Times New Roman" w:hAnsi="Times New Roman" w:eastAsia="仿宋_GB2312"/>
                <w:b/>
                <w:color w:val="000000"/>
                <w:sz w:val="24"/>
              </w:rPr>
            </w:pPr>
          </w:p>
        </w:tc>
        <w:tc>
          <w:tcPr>
            <w:tcW w:w="4394" w:type="dxa"/>
            <w:vAlign w:val="center"/>
          </w:tcPr>
          <w:p>
            <w:pPr>
              <w:spacing w:line="480" w:lineRule="exact"/>
              <w:jc w:val="left"/>
              <w:rPr>
                <w:rFonts w:hint="eastAsia" w:ascii="仿宋" w:hAnsi="仿宋" w:eastAsia="仿宋"/>
                <w:color w:val="000000"/>
                <w:sz w:val="24"/>
              </w:rPr>
            </w:pPr>
            <w:r>
              <w:rPr>
                <w:rFonts w:hint="eastAsia" w:ascii="仿宋" w:hAnsi="仿宋" w:eastAsia="仿宋"/>
                <w:color w:val="000000"/>
                <w:sz w:val="24"/>
              </w:rPr>
              <w:t>重点突出，支撑充分，条理分明</w:t>
            </w:r>
            <w:r>
              <w:rPr>
                <w:rFonts w:hint="eastAsia" w:ascii="仿宋" w:hAnsi="仿宋" w:eastAsia="仿宋"/>
                <w:color w:val="000000"/>
                <w:sz w:val="24"/>
                <w:lang w:eastAsia="zh-CN"/>
              </w:rPr>
              <w:t>；</w:t>
            </w:r>
          </w:p>
          <w:p>
            <w:pPr>
              <w:spacing w:line="480" w:lineRule="exact"/>
              <w:jc w:val="left"/>
              <w:rPr>
                <w:rFonts w:hint="eastAsia" w:ascii="仿宋" w:hAnsi="仿宋" w:eastAsia="仿宋"/>
                <w:color w:val="000000"/>
                <w:sz w:val="24"/>
                <w:lang w:val="en-US" w:eastAsia="zh-CN"/>
              </w:rPr>
            </w:pP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1413" w:type="dxa"/>
            <w:vMerge w:val="continue"/>
            <w:vAlign w:val="center"/>
          </w:tcPr>
          <w:p>
            <w:pPr>
              <w:spacing w:line="480" w:lineRule="exact"/>
              <w:jc w:val="center"/>
              <w:rPr>
                <w:rFonts w:hint="eastAsia" w:ascii="Times New Roman" w:hAnsi="Times New Roman" w:eastAsia="仿宋_GB2312"/>
                <w:b/>
                <w:color w:val="000000"/>
                <w:sz w:val="24"/>
              </w:rPr>
            </w:pPr>
          </w:p>
        </w:tc>
        <w:tc>
          <w:tcPr>
            <w:tcW w:w="4394" w:type="dxa"/>
            <w:vAlign w:val="center"/>
          </w:tcPr>
          <w:p>
            <w:pPr>
              <w:spacing w:line="480" w:lineRule="exact"/>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语言</w:t>
            </w:r>
            <w:r>
              <w:rPr>
                <w:rFonts w:hint="eastAsia" w:ascii="仿宋" w:hAnsi="仿宋" w:eastAsia="仿宋"/>
                <w:color w:val="000000"/>
                <w:sz w:val="24"/>
              </w:rPr>
              <w:t>表述流畅</w:t>
            </w:r>
            <w:r>
              <w:rPr>
                <w:rFonts w:hint="eastAsia" w:ascii="仿宋" w:hAnsi="仿宋" w:eastAsia="仿宋"/>
                <w:color w:val="000000"/>
                <w:sz w:val="24"/>
                <w:lang w:eastAsia="zh-CN"/>
              </w:rPr>
              <w:t>，</w:t>
            </w:r>
            <w:r>
              <w:rPr>
                <w:rFonts w:hint="eastAsia" w:ascii="仿宋" w:hAnsi="仿宋" w:eastAsia="仿宋"/>
                <w:color w:val="000000"/>
                <w:sz w:val="24"/>
                <w:lang w:val="en-US" w:eastAsia="zh-CN"/>
              </w:rPr>
              <w:t>清晰生动，富有感染力，个人教学特色突出。</w:t>
            </w:r>
          </w:p>
        </w:tc>
        <w:tc>
          <w:tcPr>
            <w:tcW w:w="1559" w:type="dxa"/>
            <w:vAlign w:val="center"/>
          </w:tcPr>
          <w:p>
            <w:pPr>
              <w:spacing w:line="480" w:lineRule="exact"/>
              <w:jc w:val="center"/>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10分</w:t>
            </w:r>
          </w:p>
        </w:tc>
      </w:tr>
    </w:tbl>
    <w:p>
      <w:pPr>
        <w:ind w:firstLine="5400" w:firstLineChars="1800"/>
        <w:rPr>
          <w:rFonts w:hint="eastAsia" w:ascii="Times New Roman" w:hAnsi="Times New Roman" w:eastAsia="仿宋"/>
          <w:sz w:val="30"/>
          <w:szCs w:val="30"/>
        </w:rPr>
      </w:pPr>
    </w:p>
    <w:sectPr>
      <w:footerReference r:id="rId3" w:type="default"/>
      <w:pgSz w:w="11906" w:h="16838"/>
      <w:pgMar w:top="1814"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YWM2ZDk4YjhlMTU3YTlkYTM4ZjIxZDBiZDQ1NzIifQ=="/>
  </w:docVars>
  <w:rsids>
    <w:rsidRoot w:val="00000000"/>
    <w:rsid w:val="0C893174"/>
    <w:rsid w:val="4FD572DE"/>
    <w:rsid w:val="5233653E"/>
    <w:rsid w:val="7BF23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uiPriority w:val="0"/>
  </w:style>
  <w:style w:type="table" w:customStyle="1" w:styleId="5">
    <w:name w:val="普通表格1"/>
    <w:uiPriority w:val="0"/>
  </w:style>
  <w:style w:type="paragraph" w:customStyle="1" w:styleId="6">
    <w:name w:val="批注框文本1"/>
    <w:basedOn w:val="1"/>
    <w:link w:val="7"/>
    <w:uiPriority w:val="0"/>
    <w:rPr>
      <w:sz w:val="18"/>
      <w:szCs w:val="18"/>
    </w:rPr>
  </w:style>
  <w:style w:type="character" w:customStyle="1" w:styleId="7">
    <w:name w:val="批注框文本 字符"/>
    <w:link w:val="6"/>
    <w:semiHidden/>
    <w:uiPriority w:val="0"/>
    <w:rPr>
      <w:kern w:val="2"/>
      <w:sz w:val="18"/>
      <w:szCs w:val="18"/>
    </w:rPr>
  </w:style>
  <w:style w:type="paragraph" w:customStyle="1" w:styleId="8">
    <w:name w:val="页脚1"/>
    <w:basedOn w:val="1"/>
    <w:link w:val="9"/>
    <w:uiPriority w:val="0"/>
    <w:pPr>
      <w:tabs>
        <w:tab w:val="center" w:pos="4153"/>
        <w:tab w:val="right" w:pos="8306"/>
      </w:tabs>
      <w:snapToGrid w:val="0"/>
      <w:jc w:val="left"/>
    </w:pPr>
    <w:rPr>
      <w:rFonts w:ascii="Times New Roman" w:hAnsi="Times New Roman" w:eastAsia="宋体"/>
      <w:sz w:val="18"/>
      <w:szCs w:val="18"/>
    </w:rPr>
  </w:style>
  <w:style w:type="character" w:customStyle="1" w:styleId="9">
    <w:name w:val="页脚 字符"/>
    <w:link w:val="8"/>
    <w:uiPriority w:val="0"/>
    <w:rPr>
      <w:rFonts w:ascii="Times New Roman" w:hAnsi="Times New Roman" w:eastAsia="宋体"/>
      <w:kern w:val="2"/>
      <w:sz w:val="18"/>
      <w:szCs w:val="18"/>
    </w:rPr>
  </w:style>
  <w:style w:type="paragraph" w:customStyle="1" w:styleId="10">
    <w:name w:val="页眉1"/>
    <w:basedOn w:val="1"/>
    <w:link w:val="11"/>
    <w:uiPriority w:val="0"/>
    <w:pPr>
      <w:pBdr>
        <w:bottom w:val="single" w:color="000000" w:sz="6" w:space="1"/>
      </w:pBdr>
      <w:tabs>
        <w:tab w:val="center" w:pos="4153"/>
        <w:tab w:val="right" w:pos="8306"/>
      </w:tabs>
      <w:snapToGrid w:val="0"/>
      <w:jc w:val="center"/>
    </w:pPr>
    <w:rPr>
      <w:sz w:val="18"/>
      <w:szCs w:val="18"/>
    </w:rPr>
  </w:style>
  <w:style w:type="character" w:customStyle="1" w:styleId="11">
    <w:name w:val="页眉 字符"/>
    <w:link w:val="10"/>
    <w:uiPriority w:val="0"/>
    <w:rPr>
      <w:kern w:val="2"/>
      <w:sz w:val="18"/>
      <w:szCs w:val="18"/>
    </w:rPr>
  </w:style>
  <w:style w:type="paragraph" w:customStyle="1" w:styleId="12">
    <w:name w:val="普通(网站)1"/>
    <w:basedOn w:val="1"/>
    <w:uiPriority w:val="0"/>
    <w:pPr>
      <w:widowControl/>
      <w:spacing w:before="100" w:beforeAutospacing="1" w:after="100" w:afterAutospacing="1"/>
      <w:jc w:val="left"/>
    </w:pPr>
    <w:rPr>
      <w:rFonts w:ascii="宋体" w:hAnsi="宋体" w:eastAsia="宋体"/>
      <w:kern w:val="0"/>
      <w:sz w:val="24"/>
      <w:szCs w:val="24"/>
    </w:rPr>
  </w:style>
  <w:style w:type="table" w:customStyle="1" w:styleId="13">
    <w:name w:val="网格型1"/>
    <w:basedOn w:val="5"/>
    <w:uiPriority w:val="0"/>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512</Words>
  <Characters>520</Characters>
  <Lines>0</Lines>
  <Paragraphs>0</Paragraphs>
  <TotalTime>12</TotalTime>
  <ScaleCrop>false</ScaleCrop>
  <LinksUpToDate>false</LinksUpToDate>
  <CharactersWithSpaces>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2023-11-14T08:35:00Z</dcterms:created>
  <dc:creator>风吹渭河</dc:creator>
  <cp:lastModifiedBy>风吹渭河</cp:lastModifiedBy>
  <dcterms:modified xsi:type="dcterms:W3CDTF">2023-11-14T08:54:15Z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0BEC7264AD504CD18572D8C41B659319_13</vt:lpwstr>
  </property>
</Properties>
</file>